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8C" w:rsidRDefault="0080199B" w:rsidP="0080199B">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w:t>
      </w:r>
    </w:p>
    <w:p w:rsidR="0080199B" w:rsidRDefault="0080199B" w:rsidP="0080199B">
      <w:pPr>
        <w:spacing w:after="0" w:line="240" w:lineRule="auto"/>
        <w:rPr>
          <w:rFonts w:ascii="Times New Roman" w:hAnsi="Times New Roman" w:cs="Times New Roman"/>
          <w:sz w:val="24"/>
          <w:szCs w:val="24"/>
        </w:rPr>
      </w:pPr>
      <w:r>
        <w:rPr>
          <w:rFonts w:ascii="Times New Roman" w:hAnsi="Times New Roman" w:cs="Times New Roman"/>
          <w:sz w:val="24"/>
          <w:szCs w:val="24"/>
        </w:rPr>
        <w:t>Block:  ____________________________</w:t>
      </w:r>
    </w:p>
    <w:p w:rsidR="0080199B" w:rsidRDefault="0080199B" w:rsidP="0080199B">
      <w:pPr>
        <w:spacing w:after="0" w:line="240" w:lineRule="auto"/>
        <w:rPr>
          <w:rFonts w:ascii="Times New Roman" w:hAnsi="Times New Roman" w:cs="Times New Roman"/>
          <w:sz w:val="24"/>
          <w:szCs w:val="24"/>
        </w:rPr>
      </w:pPr>
    </w:p>
    <w:p w:rsidR="0080199B" w:rsidRPr="007C55EE" w:rsidRDefault="007C55EE" w:rsidP="007C55EE">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center"/>
        <w:rPr>
          <w:rFonts w:ascii="Times New Roman" w:hAnsi="Times New Roman"/>
          <w:b/>
          <w:spacing w:val="-5"/>
          <w:sz w:val="32"/>
        </w:rPr>
      </w:pPr>
      <w:r w:rsidRPr="007C55EE">
        <w:rPr>
          <w:rFonts w:ascii="Times New Roman" w:hAnsi="Times New Roman"/>
          <w:b/>
          <w:i/>
          <w:spacing w:val="-5"/>
          <w:sz w:val="32"/>
        </w:rPr>
        <w:t>Making a Murder</w:t>
      </w:r>
      <w:r w:rsidRPr="007C55EE">
        <w:rPr>
          <w:rFonts w:ascii="Times New Roman" w:hAnsi="Times New Roman"/>
          <w:b/>
          <w:spacing w:val="-5"/>
          <w:sz w:val="32"/>
        </w:rPr>
        <w:t>, Season 1, Episode 1</w:t>
      </w:r>
      <w:r>
        <w:rPr>
          <w:rFonts w:ascii="Times New Roman" w:hAnsi="Times New Roman"/>
          <w:b/>
          <w:spacing w:val="-5"/>
          <w:sz w:val="32"/>
        </w:rPr>
        <w:t xml:space="preserve"> (50 Points)</w:t>
      </w:r>
    </w:p>
    <w:p w:rsidR="007C55EE" w:rsidRPr="0080199B"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spacing w:val="-5"/>
        </w:rPr>
      </w:pPr>
      <w:r>
        <w:rPr>
          <w:rFonts w:ascii="Times New Roman" w:hAnsi="Times New Roman"/>
          <w:spacing w:val="-5"/>
        </w:rPr>
        <w:br/>
        <w:t>As we view</w:t>
      </w:r>
      <w:bookmarkStart w:id="0" w:name="_GoBack"/>
      <w:bookmarkEnd w:id="0"/>
      <w:r>
        <w:rPr>
          <w:rFonts w:ascii="Times New Roman" w:hAnsi="Times New Roman"/>
          <w:spacing w:val="-5"/>
        </w:rPr>
        <w:t xml:space="preserve"> the first episode of the documentary series, please respond to the following questions.</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spacing w:val="-5"/>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r w:rsidRPr="0080199B">
        <w:rPr>
          <w:rFonts w:ascii="Times New Roman" w:hAnsi="Times New Roman"/>
        </w:rPr>
        <w:t>1. Who is Steven Avery?</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r w:rsidRPr="0080199B">
        <w:rPr>
          <w:rFonts w:ascii="Times New Roman" w:hAnsi="Times New Roman"/>
        </w:rPr>
        <w:t>2. The documentary opens with Avery’s 2003 release from prison after he was wrongfully convicted. How does it impact the viewer’s perception of Steven Avery? Why do you think the filmmakers chose to introduce Avery’s story with his release rather than from the beginning (1985)?</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r w:rsidRPr="0080199B">
        <w:rPr>
          <w:rFonts w:ascii="Times New Roman" w:hAnsi="Times New Roman"/>
        </w:rPr>
        <w:t xml:space="preserve">3. According to the documentary, what kind of reputation did Steven Avery have in 1985? What events influenced his reputation? </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r w:rsidRPr="0080199B">
        <w:rPr>
          <w:rFonts w:ascii="Times New Roman" w:hAnsi="Times New Roman"/>
        </w:rPr>
        <w:t xml:space="preserve">4. Is it fair to say that the law enforcement in Manitowoc County had preconceived notions about Steven Avery when the 1985 rape of Penny </w:t>
      </w:r>
      <w:proofErr w:type="spellStart"/>
      <w:r w:rsidRPr="0080199B">
        <w:rPr>
          <w:rFonts w:ascii="Times New Roman" w:hAnsi="Times New Roman"/>
        </w:rPr>
        <w:t>Beerntsen</w:t>
      </w:r>
      <w:proofErr w:type="spellEnd"/>
      <w:r w:rsidRPr="0080199B">
        <w:rPr>
          <w:rFonts w:ascii="Times New Roman" w:hAnsi="Times New Roman"/>
        </w:rPr>
        <w:t xml:space="preserve"> takes place? Explain.</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r w:rsidRPr="0080199B">
        <w:rPr>
          <w:rFonts w:ascii="Times New Roman" w:hAnsi="Times New Roman"/>
        </w:rPr>
        <w:t>5. What was the inciting incident that seems to give the Manitowoc sheriff’s department reason to believe Steven Avery may have committed the rape?</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right"/>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r w:rsidRPr="0080199B">
        <w:rPr>
          <w:rFonts w:ascii="Times New Roman" w:hAnsi="Times New Roman"/>
        </w:rPr>
        <w:t>6. Who is Gregory Allen? Why was the city police department surveilling him?</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r w:rsidRPr="0080199B">
        <w:rPr>
          <w:rFonts w:ascii="Times New Roman" w:hAnsi="Times New Roman"/>
        </w:rPr>
        <w:t>7. Why, despite the evidence showing Avery’s whereabouts on July 29, 1985, do you think the jury finds Steven Avery guilty of rape?</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r w:rsidRPr="0080199B">
        <w:rPr>
          <w:rFonts w:ascii="Times New Roman" w:hAnsi="Times New Roman"/>
        </w:rPr>
        <w:t>8. Why was Steven ineligible for parole?</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r w:rsidRPr="0080199B">
        <w:rPr>
          <w:rFonts w:ascii="Times New Roman" w:hAnsi="Times New Roman"/>
        </w:rPr>
        <w:t>9. What has to happen in order for an appeal to take place?</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rPr>
          <w:rFonts w:ascii="Times New Roman" w:hAnsi="Times New Roman"/>
        </w:rPr>
      </w:pPr>
      <w:r w:rsidRPr="0080199B">
        <w:rPr>
          <w:rFonts w:ascii="Times New Roman" w:hAnsi="Times New Roman"/>
        </w:rPr>
        <w:t>10. What “newly discovered” evidence is presented in 1995?</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7C55EE">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r w:rsidRPr="0080199B">
        <w:rPr>
          <w:rFonts w:ascii="Times New Roman" w:hAnsi="Times New Roman"/>
        </w:rPr>
        <w:t>11. Why doesn’t Judge Hazelwood (AND the appeals court AND Supreme Court of Wisconsin) uphold the evidence in Avery’s appeal?</w:t>
      </w:r>
    </w:p>
    <w:p w:rsid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7C55EE" w:rsidRPr="0080199B"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r w:rsidRPr="0080199B">
        <w:rPr>
          <w:rFonts w:ascii="Times New Roman" w:hAnsi="Times New Roman"/>
        </w:rPr>
        <w:t>12. What new evidence is brought forward by the Wisconsin Innocence Project in 2001?</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r w:rsidRPr="0080199B">
        <w:rPr>
          <w:rFonts w:ascii="Times New Roman" w:hAnsi="Times New Roman"/>
        </w:rPr>
        <w:t xml:space="preserve">13. What motive did the Manitowoc County Sheriff’s Department and Denis Vogel (District Attorney) have for ignoring the leads the Manitowoc City Police Department had on Gregory Allen in 1985? </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r w:rsidRPr="0080199B">
        <w:rPr>
          <w:rFonts w:ascii="Times New Roman" w:hAnsi="Times New Roman"/>
        </w:rPr>
        <w:t>14. What happened as a result of Gregory Allen not being arrested for the 1985 rape?</w:t>
      </w: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r w:rsidRPr="0080199B">
        <w:rPr>
          <w:rFonts w:ascii="Times New Roman" w:hAnsi="Times New Roman"/>
        </w:rPr>
        <w:t>15. Do you think the people involved in locking Steven Avery up for 18 years should be reprimanded? Why or why not?</w:t>
      </w:r>
    </w:p>
    <w:p w:rsid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7C55EE" w:rsidRDefault="0080199B"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b/>
          <w:sz w:val="32"/>
        </w:rPr>
      </w:pPr>
      <w:r w:rsidRPr="007C55EE">
        <w:rPr>
          <w:rFonts w:ascii="Times New Roman" w:hAnsi="Times New Roman"/>
          <w:b/>
          <w:sz w:val="32"/>
        </w:rPr>
        <w:t>The Persuasive Appeals</w:t>
      </w:r>
    </w:p>
    <w:p w:rsidR="0080199B" w:rsidRDefault="006A6D3D"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r>
        <w:rPr>
          <w:rFonts w:ascii="Times New Roman" w:hAnsi="Times New Roman"/>
        </w:rPr>
        <w:tab/>
      </w:r>
      <w:r w:rsidR="0080199B">
        <w:rPr>
          <w:rFonts w:ascii="Times New Roman" w:hAnsi="Times New Roman"/>
        </w:rPr>
        <w:t xml:space="preserve">Each of the persuasive appeals </w:t>
      </w:r>
      <w:proofErr w:type="gramStart"/>
      <w:r w:rsidR="0080199B">
        <w:rPr>
          <w:rFonts w:ascii="Times New Roman" w:hAnsi="Times New Roman"/>
        </w:rPr>
        <w:t>are</w:t>
      </w:r>
      <w:proofErr w:type="gramEnd"/>
      <w:r w:rsidR="0080199B">
        <w:rPr>
          <w:rFonts w:ascii="Times New Roman" w:hAnsi="Times New Roman"/>
        </w:rPr>
        <w:t xml:space="preserve"> used throughout the episode.  </w:t>
      </w:r>
      <w:r w:rsidR="0080199B">
        <w:rPr>
          <w:rFonts w:ascii="Times New Roman" w:hAnsi="Times New Roman"/>
          <w:i/>
        </w:rPr>
        <w:t xml:space="preserve">How </w:t>
      </w:r>
      <w:r w:rsidR="0080199B">
        <w:rPr>
          <w:rFonts w:ascii="Times New Roman" w:hAnsi="Times New Roman"/>
        </w:rPr>
        <w:t xml:space="preserve">does the director use </w:t>
      </w:r>
      <w:r w:rsidR="007C55EE">
        <w:rPr>
          <w:rFonts w:ascii="Times New Roman" w:hAnsi="Times New Roman"/>
        </w:rPr>
        <w:t>each of these appeals?  In the chart below, write 2-3 examples for each persuasive appeal.  Consider the specific documentary techniques that the director uses to enforce each of these appeals.</w:t>
      </w: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tbl>
      <w:tblPr>
        <w:tblStyle w:val="TableGrid"/>
        <w:tblW w:w="0" w:type="auto"/>
        <w:tblInd w:w="216" w:type="dxa"/>
        <w:tblLook w:val="04A0" w:firstRow="1" w:lastRow="0" w:firstColumn="1" w:lastColumn="0" w:noHBand="0" w:noVBand="1"/>
      </w:tblPr>
      <w:tblGrid>
        <w:gridCol w:w="3123"/>
        <w:gridCol w:w="3119"/>
        <w:gridCol w:w="3118"/>
      </w:tblGrid>
      <w:tr w:rsidR="007C55EE" w:rsidTr="007C55EE">
        <w:tc>
          <w:tcPr>
            <w:tcW w:w="3192" w:type="dxa"/>
          </w:tcPr>
          <w:p w:rsidR="007C55EE" w:rsidRPr="006A6D3D" w:rsidRDefault="007C55EE" w:rsidP="007C55EE">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Times New Roman" w:hAnsi="Times New Roman"/>
                <w:b/>
                <w:sz w:val="28"/>
              </w:rPr>
            </w:pPr>
            <w:r w:rsidRPr="006A6D3D">
              <w:rPr>
                <w:rFonts w:ascii="Times New Roman" w:hAnsi="Times New Roman"/>
                <w:b/>
                <w:sz w:val="28"/>
              </w:rPr>
              <w:t>Pathos</w:t>
            </w:r>
          </w:p>
        </w:tc>
        <w:tc>
          <w:tcPr>
            <w:tcW w:w="3192" w:type="dxa"/>
          </w:tcPr>
          <w:p w:rsidR="007C55EE" w:rsidRPr="006A6D3D" w:rsidRDefault="007C55EE" w:rsidP="007C55EE">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Times New Roman" w:hAnsi="Times New Roman"/>
                <w:b/>
                <w:sz w:val="28"/>
              </w:rPr>
            </w:pPr>
            <w:r w:rsidRPr="006A6D3D">
              <w:rPr>
                <w:rFonts w:ascii="Times New Roman" w:hAnsi="Times New Roman"/>
                <w:b/>
                <w:sz w:val="28"/>
              </w:rPr>
              <w:t>Logos</w:t>
            </w:r>
          </w:p>
        </w:tc>
        <w:tc>
          <w:tcPr>
            <w:tcW w:w="3192" w:type="dxa"/>
          </w:tcPr>
          <w:p w:rsidR="007C55EE" w:rsidRPr="006A6D3D" w:rsidRDefault="007C55EE" w:rsidP="007C55EE">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Times New Roman" w:hAnsi="Times New Roman"/>
                <w:b/>
                <w:sz w:val="28"/>
              </w:rPr>
            </w:pPr>
            <w:r w:rsidRPr="006A6D3D">
              <w:rPr>
                <w:rFonts w:ascii="Times New Roman" w:hAnsi="Times New Roman"/>
                <w:b/>
                <w:sz w:val="28"/>
              </w:rPr>
              <w:t>Ethos</w:t>
            </w:r>
          </w:p>
        </w:tc>
      </w:tr>
      <w:tr w:rsidR="007C55EE" w:rsidTr="007C55EE">
        <w:tc>
          <w:tcPr>
            <w:tcW w:w="3192" w:type="dxa"/>
          </w:tcPr>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tc>
        <w:tc>
          <w:tcPr>
            <w:tcW w:w="3192" w:type="dxa"/>
          </w:tcPr>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tc>
        <w:tc>
          <w:tcPr>
            <w:tcW w:w="3192" w:type="dxa"/>
          </w:tcPr>
          <w:p w:rsidR="007C55EE"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imes New Roman" w:hAnsi="Times New Roman"/>
              </w:rPr>
            </w:pPr>
          </w:p>
        </w:tc>
      </w:tr>
    </w:tbl>
    <w:p w:rsidR="007C55EE" w:rsidRPr="0080199B" w:rsidRDefault="007C55EE" w:rsidP="0080199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 w:hanging="216"/>
        <w:rPr>
          <w:rFonts w:ascii="Times New Roman" w:hAnsi="Times New Roman"/>
        </w:rPr>
      </w:pPr>
    </w:p>
    <w:p w:rsidR="0080199B" w:rsidRPr="0080199B" w:rsidRDefault="0080199B" w:rsidP="0080199B">
      <w:pPr>
        <w:spacing w:after="0" w:line="240" w:lineRule="auto"/>
        <w:rPr>
          <w:rFonts w:ascii="Times New Roman" w:hAnsi="Times New Roman" w:cs="Times New Roman"/>
          <w:sz w:val="24"/>
          <w:szCs w:val="24"/>
        </w:rPr>
      </w:pPr>
    </w:p>
    <w:sectPr w:rsidR="0080199B" w:rsidRPr="0080199B" w:rsidSect="007C55E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9B"/>
    <w:rsid w:val="0041398C"/>
    <w:rsid w:val="006A6D3D"/>
    <w:rsid w:val="007C55EE"/>
    <w:rsid w:val="0080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0199B"/>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7C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0199B"/>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7C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2017-03-01T15:43:00Z</dcterms:created>
  <dcterms:modified xsi:type="dcterms:W3CDTF">2017-03-01T16:02:00Z</dcterms:modified>
</cp:coreProperties>
</file>